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9EFAE0">
      <w:pPr>
        <w:jc w:val="center"/>
        <w:rPr>
          <w:rFonts w:hint="default" w:ascii="方正小标宋简体" w:hAnsi="方正小标宋简体" w:eastAsia="方正小标宋简体" w:cs="方正小标宋简体"/>
          <w:bCs/>
          <w:sz w:val="36"/>
          <w:szCs w:val="36"/>
          <w:highlight w:val="yellow"/>
          <w:lang w:val="en-US"/>
        </w:rPr>
      </w:pPr>
      <w:r>
        <w:rPr>
          <w:rFonts w:hint="eastAsia" w:ascii="方正小标宋简体" w:hAnsi="方正小标宋简体" w:eastAsia="方正小标宋简体" w:cs="方正小标宋简体"/>
          <w:bCs/>
          <w:sz w:val="36"/>
          <w:szCs w:val="36"/>
          <w:lang w:val="en-US" w:eastAsia="zh-CN"/>
        </w:rPr>
        <w:t>2024-2025学年第二学期排课相关工作</w:t>
      </w:r>
      <w:r>
        <w:rPr>
          <w:rFonts w:hint="eastAsia" w:ascii="方正小标宋简体" w:hAnsi="方正小标宋简体" w:eastAsia="方正小标宋简体" w:cs="方正小标宋简体"/>
          <w:bCs/>
          <w:sz w:val="36"/>
          <w:szCs w:val="36"/>
          <w:highlight w:val="none"/>
          <w:lang w:val="en-US" w:eastAsia="zh-CN"/>
        </w:rPr>
        <w:t>的通知</w:t>
      </w:r>
    </w:p>
    <w:p w14:paraId="1F74F825">
      <w:pPr>
        <w:spacing w:line="500" w:lineRule="exact"/>
        <w:rPr>
          <w:rFonts w:hint="eastAsia" w:ascii="仿宋" w:hAnsi="仿宋" w:eastAsia="仿宋"/>
          <w:b/>
          <w:sz w:val="30"/>
        </w:rPr>
      </w:pPr>
      <w:r>
        <w:rPr>
          <w:rFonts w:hint="eastAsia" w:ascii="仿宋" w:hAnsi="仿宋" w:eastAsia="仿宋"/>
          <w:b/>
          <w:sz w:val="30"/>
        </w:rPr>
        <w:t>各教学</w:t>
      </w:r>
      <w:r>
        <w:rPr>
          <w:rFonts w:hint="eastAsia" w:ascii="仿宋" w:hAnsi="仿宋" w:eastAsia="仿宋"/>
          <w:b/>
          <w:sz w:val="30"/>
          <w:lang w:val="en-US" w:eastAsia="zh-CN"/>
        </w:rPr>
        <w:t>院系</w:t>
      </w:r>
      <w:r>
        <w:rPr>
          <w:rFonts w:hint="eastAsia" w:ascii="仿宋" w:hAnsi="仿宋" w:eastAsia="仿宋"/>
          <w:b/>
          <w:sz w:val="30"/>
        </w:rPr>
        <w:t>：</w:t>
      </w:r>
    </w:p>
    <w:p w14:paraId="2C3DB90F">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rPr>
      </w:pPr>
      <w:r>
        <w:rPr>
          <w:rFonts w:hint="eastAsia" w:ascii="仿宋" w:hAnsi="仿宋" w:eastAsia="仿宋"/>
          <w:sz w:val="30"/>
        </w:rPr>
        <w:t>为</w:t>
      </w:r>
      <w:r>
        <w:rPr>
          <w:rFonts w:ascii="仿宋" w:hAnsi="仿宋" w:eastAsia="仿宋"/>
          <w:sz w:val="30"/>
        </w:rPr>
        <w:t>合理安排</w:t>
      </w:r>
      <w:r>
        <w:rPr>
          <w:rFonts w:hint="eastAsia" w:ascii="仿宋" w:hAnsi="仿宋" w:eastAsia="仿宋"/>
          <w:sz w:val="30"/>
          <w:lang w:val="en-US" w:eastAsia="zh-CN"/>
        </w:rPr>
        <w:t>教学</w:t>
      </w:r>
      <w:r>
        <w:rPr>
          <w:rFonts w:ascii="仿宋" w:hAnsi="仿宋" w:eastAsia="仿宋"/>
          <w:sz w:val="30"/>
        </w:rPr>
        <w:t>工作进程，确保教学工作平稳有序，</w:t>
      </w:r>
      <w:r>
        <w:rPr>
          <w:rFonts w:hint="eastAsia" w:ascii="仿宋" w:hAnsi="仿宋" w:eastAsia="仿宋"/>
          <w:sz w:val="30"/>
          <w:lang w:val="en-US" w:eastAsia="zh-CN"/>
        </w:rPr>
        <w:t>现将</w:t>
      </w:r>
      <w:r>
        <w:rPr>
          <w:rFonts w:hint="eastAsia" w:ascii="仿宋" w:hAnsi="仿宋" w:eastAsia="仿宋" w:cs="Times New Roman"/>
          <w:sz w:val="30"/>
        </w:rPr>
        <w:t>2024</w:t>
      </w:r>
      <w:r>
        <w:rPr>
          <w:rFonts w:hint="eastAsia" w:ascii="仿宋" w:hAnsi="仿宋" w:eastAsia="仿宋" w:cs="Times New Roman"/>
          <w:sz w:val="30"/>
          <w:lang w:val="en-US" w:eastAsia="zh-CN"/>
        </w:rPr>
        <w:t>-2025学</w:t>
      </w:r>
      <w:r>
        <w:rPr>
          <w:rFonts w:hint="eastAsia" w:ascii="仿宋" w:hAnsi="仿宋" w:eastAsia="仿宋" w:cs="Times New Roman"/>
          <w:sz w:val="30"/>
        </w:rPr>
        <w:t>年</w:t>
      </w:r>
      <w:r>
        <w:rPr>
          <w:rFonts w:hint="eastAsia" w:ascii="仿宋" w:hAnsi="仿宋" w:eastAsia="仿宋" w:cs="Times New Roman"/>
          <w:sz w:val="30"/>
          <w:lang w:val="en-US" w:eastAsia="zh-CN"/>
        </w:rPr>
        <w:t>第二</w:t>
      </w:r>
      <w:r>
        <w:rPr>
          <w:rFonts w:hint="eastAsia" w:ascii="仿宋" w:hAnsi="仿宋" w:eastAsia="仿宋" w:cs="Times New Roman"/>
          <w:sz w:val="30"/>
        </w:rPr>
        <w:t>学期</w:t>
      </w:r>
      <w:r>
        <w:rPr>
          <w:rFonts w:hint="eastAsia" w:ascii="仿宋" w:hAnsi="仿宋" w:eastAsia="仿宋" w:cs="Times New Roman"/>
          <w:sz w:val="30"/>
          <w:lang w:val="en-US" w:eastAsia="zh-CN"/>
        </w:rPr>
        <w:t>排课相关工作通知</w:t>
      </w:r>
      <w:r>
        <w:rPr>
          <w:rFonts w:hint="eastAsia" w:ascii="仿宋" w:hAnsi="仿宋" w:eastAsia="仿宋" w:cs="Times New Roman"/>
          <w:sz w:val="30"/>
        </w:rPr>
        <w:t>如下</w:t>
      </w:r>
      <w:r>
        <w:rPr>
          <w:rFonts w:hint="eastAsia" w:ascii="仿宋" w:hAnsi="仿宋" w:eastAsia="仿宋"/>
          <w:sz w:val="30"/>
        </w:rPr>
        <w:t>：</w:t>
      </w:r>
    </w:p>
    <w:p w14:paraId="0783B462">
      <w:pPr>
        <w:keepNext w:val="0"/>
        <w:keepLines w:val="0"/>
        <w:pageBreakBefore w:val="0"/>
        <w:widowControl w:val="0"/>
        <w:tabs>
          <w:tab w:val="left" w:pos="2415"/>
        </w:tabs>
        <w:kinsoku/>
        <w:wordWrap/>
        <w:overflowPunct/>
        <w:topLinePunct w:val="0"/>
        <w:autoSpaceDE/>
        <w:autoSpaceDN/>
        <w:bidi w:val="0"/>
        <w:adjustRightInd/>
        <w:snapToGrid/>
        <w:spacing w:line="400" w:lineRule="exact"/>
        <w:ind w:firstLine="602" w:firstLineChars="200"/>
        <w:textAlignment w:val="auto"/>
        <w:rPr>
          <w:rFonts w:ascii="仿宋" w:hAnsi="仿宋" w:eastAsia="仿宋"/>
          <w:b/>
          <w:sz w:val="30"/>
        </w:rPr>
      </w:pPr>
      <w:r>
        <w:rPr>
          <w:rFonts w:hint="eastAsia" w:ascii="仿宋" w:hAnsi="仿宋" w:eastAsia="仿宋"/>
          <w:b/>
          <w:sz w:val="30"/>
        </w:rPr>
        <w:t>一、教学计划安排依据</w:t>
      </w:r>
    </w:p>
    <w:p w14:paraId="4EAA0EDD">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highlight w:val="none"/>
        </w:rPr>
      </w:pPr>
      <w:r>
        <w:rPr>
          <w:rFonts w:hint="eastAsia" w:ascii="仿宋" w:hAnsi="仿宋" w:eastAsia="仿宋"/>
          <w:sz w:val="30"/>
          <w:highlight w:val="none"/>
        </w:rPr>
        <w:t>教学计划安排必须严格按照专业人才培养方案执行。2022级学生按照2022</w:t>
      </w:r>
      <w:r>
        <w:rPr>
          <w:rFonts w:hint="eastAsia" w:ascii="仿宋" w:hAnsi="仿宋" w:eastAsia="仿宋"/>
          <w:sz w:val="30"/>
          <w:highlight w:val="none"/>
          <w:lang w:val="en-US" w:eastAsia="zh-CN"/>
        </w:rPr>
        <w:t>年</w:t>
      </w:r>
      <w:r>
        <w:rPr>
          <w:rFonts w:hint="eastAsia" w:ascii="仿宋" w:hAnsi="仿宋" w:eastAsia="仿宋"/>
          <w:sz w:val="30"/>
          <w:highlight w:val="none"/>
        </w:rPr>
        <w:t>人才培养方案执行；2023级学生按照202</w:t>
      </w:r>
      <w:r>
        <w:rPr>
          <w:rFonts w:hint="eastAsia" w:ascii="仿宋" w:hAnsi="仿宋" w:eastAsia="仿宋"/>
          <w:sz w:val="30"/>
          <w:highlight w:val="none"/>
          <w:lang w:val="en-US" w:eastAsia="zh-CN"/>
        </w:rPr>
        <w:t>3</w:t>
      </w:r>
      <w:r>
        <w:rPr>
          <w:rFonts w:hint="eastAsia" w:ascii="仿宋" w:hAnsi="仿宋" w:eastAsia="仿宋"/>
          <w:sz w:val="30"/>
          <w:highlight w:val="none"/>
        </w:rPr>
        <w:t>年</w:t>
      </w:r>
      <w:r>
        <w:rPr>
          <w:rFonts w:hint="eastAsia" w:ascii="仿宋" w:hAnsi="仿宋" w:eastAsia="仿宋"/>
          <w:sz w:val="30"/>
          <w:highlight w:val="none"/>
          <w:lang w:val="en-US" w:eastAsia="zh-CN"/>
        </w:rPr>
        <w:t>微调后的</w:t>
      </w:r>
      <w:r>
        <w:rPr>
          <w:rFonts w:hint="eastAsia" w:ascii="仿宋" w:hAnsi="仿宋" w:eastAsia="仿宋"/>
          <w:sz w:val="30"/>
          <w:highlight w:val="none"/>
        </w:rPr>
        <w:t>人才培养方案执行；2024级学生按照202</w:t>
      </w:r>
      <w:r>
        <w:rPr>
          <w:rFonts w:hint="eastAsia" w:ascii="仿宋" w:hAnsi="仿宋" w:eastAsia="仿宋"/>
          <w:sz w:val="30"/>
          <w:highlight w:val="none"/>
          <w:lang w:val="en-US" w:eastAsia="zh-CN"/>
        </w:rPr>
        <w:t>4年新修订</w:t>
      </w:r>
      <w:r>
        <w:rPr>
          <w:rFonts w:hint="eastAsia" w:ascii="仿宋" w:hAnsi="仿宋" w:eastAsia="仿宋"/>
          <w:sz w:val="30"/>
          <w:highlight w:val="none"/>
        </w:rPr>
        <w:t>的人才培养方案执行。</w:t>
      </w:r>
    </w:p>
    <w:p w14:paraId="01FF9004">
      <w:pPr>
        <w:keepNext w:val="0"/>
        <w:keepLines w:val="0"/>
        <w:pageBreakBefore w:val="0"/>
        <w:widowControl w:val="0"/>
        <w:tabs>
          <w:tab w:val="left" w:pos="2415"/>
        </w:tabs>
        <w:kinsoku/>
        <w:wordWrap/>
        <w:overflowPunct/>
        <w:topLinePunct w:val="0"/>
        <w:autoSpaceDE/>
        <w:autoSpaceDN/>
        <w:bidi w:val="0"/>
        <w:adjustRightInd/>
        <w:snapToGrid/>
        <w:spacing w:line="400" w:lineRule="exact"/>
        <w:ind w:firstLine="600" w:firstLineChars="200"/>
        <w:textAlignment w:val="auto"/>
        <w:rPr>
          <w:rFonts w:ascii="仿宋" w:hAnsi="仿宋" w:eastAsia="仿宋"/>
          <w:b/>
          <w:sz w:val="30"/>
        </w:rPr>
      </w:pPr>
      <w:r>
        <w:rPr>
          <w:rFonts w:hint="eastAsia" w:ascii="仿宋" w:hAnsi="仿宋" w:eastAsia="仿宋"/>
          <w:sz w:val="30"/>
        </w:rPr>
        <w:t>二、</w:t>
      </w:r>
      <w:r>
        <w:rPr>
          <w:rFonts w:hint="eastAsia" w:ascii="仿宋" w:hAnsi="仿宋" w:eastAsia="仿宋"/>
          <w:b/>
          <w:sz w:val="30"/>
        </w:rPr>
        <w:t>教学计划安排要求</w:t>
      </w:r>
    </w:p>
    <w:p w14:paraId="37443031">
      <w:pPr>
        <w:keepNext w:val="0"/>
        <w:keepLines w:val="0"/>
        <w:pageBreakBefore w:val="0"/>
        <w:widowControl w:val="0"/>
        <w:kinsoku/>
        <w:wordWrap/>
        <w:overflowPunct/>
        <w:topLinePunct w:val="0"/>
        <w:autoSpaceDE/>
        <w:autoSpaceDN/>
        <w:bidi w:val="0"/>
        <w:adjustRightInd/>
        <w:snapToGrid/>
        <w:spacing w:line="400" w:lineRule="exact"/>
        <w:ind w:firstLine="602" w:firstLineChars="200"/>
        <w:textAlignment w:val="auto"/>
        <w:rPr>
          <w:rFonts w:hint="eastAsia" w:ascii="仿宋" w:hAnsi="仿宋" w:eastAsia="仿宋"/>
          <w:b/>
          <w:sz w:val="30"/>
        </w:rPr>
      </w:pPr>
      <w:r>
        <w:rPr>
          <w:rFonts w:hint="eastAsia" w:ascii="仿宋" w:hAnsi="仿宋" w:eastAsia="仿宋"/>
          <w:b/>
          <w:sz w:val="30"/>
        </w:rPr>
        <w:t>（一）合理安排教学任务</w:t>
      </w:r>
    </w:p>
    <w:p w14:paraId="3DA27560">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rPr>
      </w:pPr>
      <w:r>
        <w:rPr>
          <w:rFonts w:hint="eastAsia" w:ascii="仿宋" w:hAnsi="仿宋" w:eastAsia="仿宋"/>
          <w:sz w:val="30"/>
        </w:rPr>
        <w:t>1.坚持</w:t>
      </w:r>
      <w:r>
        <w:rPr>
          <w:rFonts w:ascii="仿宋" w:hAnsi="仿宋" w:eastAsia="仿宋"/>
          <w:sz w:val="30"/>
        </w:rPr>
        <w:t>以学生为中心，科学合理安排学生的学习任务，合理配置教学资源，提高学生学习效果。</w:t>
      </w:r>
    </w:p>
    <w:p w14:paraId="5141AF5F">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rPr>
      </w:pPr>
      <w:r>
        <w:rPr>
          <w:rFonts w:hint="eastAsia" w:ascii="仿宋" w:hAnsi="仿宋" w:eastAsia="仿宋"/>
          <w:sz w:val="30"/>
        </w:rPr>
        <w:t>2.教学周安排以“2024-2025学年第</w:t>
      </w:r>
      <w:r>
        <w:rPr>
          <w:rFonts w:hint="eastAsia" w:ascii="仿宋" w:hAnsi="仿宋" w:eastAsia="仿宋"/>
          <w:sz w:val="30"/>
          <w:lang w:val="en-US" w:eastAsia="zh-CN"/>
        </w:rPr>
        <w:t>二</w:t>
      </w:r>
      <w:r>
        <w:rPr>
          <w:rFonts w:hint="eastAsia" w:ascii="仿宋" w:hAnsi="仿宋" w:eastAsia="仿宋"/>
          <w:sz w:val="30"/>
        </w:rPr>
        <w:t>学期校历”为准。</w:t>
      </w:r>
    </w:p>
    <w:p w14:paraId="44FCF0B7">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highlight w:val="yellow"/>
        </w:rPr>
      </w:pPr>
      <w:r>
        <w:rPr>
          <w:rFonts w:hint="eastAsia" w:ascii="仿宋" w:hAnsi="仿宋" w:eastAsia="仿宋"/>
          <w:sz w:val="30"/>
          <w:highlight w:val="none"/>
        </w:rPr>
        <w:t>3</w:t>
      </w:r>
      <w:r>
        <w:rPr>
          <w:rFonts w:ascii="仿宋" w:hAnsi="仿宋" w:eastAsia="仿宋"/>
          <w:sz w:val="30"/>
          <w:highlight w:val="none"/>
        </w:rPr>
        <w:t>.充分考虑先修和后修课程、理论环节和实践环节之间的衔接，合理安排教学进程。实</w:t>
      </w:r>
      <w:r>
        <w:rPr>
          <w:rFonts w:hint="eastAsia" w:ascii="仿宋" w:hAnsi="仿宋" w:eastAsia="仿宋"/>
          <w:sz w:val="30"/>
          <w:highlight w:val="none"/>
          <w:lang w:val="en-US" w:eastAsia="zh-CN"/>
        </w:rPr>
        <w:t>践</w:t>
      </w:r>
      <w:r>
        <w:rPr>
          <w:rFonts w:ascii="仿宋" w:hAnsi="仿宋" w:eastAsia="仿宋"/>
          <w:sz w:val="30"/>
          <w:highlight w:val="none"/>
        </w:rPr>
        <w:t>课表编排确保与理论课程安排不冲突。</w:t>
      </w:r>
    </w:p>
    <w:p w14:paraId="04F0F0DF">
      <w:pPr>
        <w:keepNext w:val="0"/>
        <w:keepLines w:val="0"/>
        <w:pageBreakBefore w:val="0"/>
        <w:widowControl w:val="0"/>
        <w:kinsoku/>
        <w:wordWrap/>
        <w:overflowPunct/>
        <w:topLinePunct w:val="0"/>
        <w:autoSpaceDE/>
        <w:autoSpaceDN/>
        <w:bidi w:val="0"/>
        <w:adjustRightInd/>
        <w:snapToGrid/>
        <w:spacing w:line="400" w:lineRule="exact"/>
        <w:ind w:firstLine="602" w:firstLineChars="200"/>
        <w:textAlignment w:val="auto"/>
        <w:rPr>
          <w:rFonts w:hint="eastAsia" w:ascii="仿宋" w:hAnsi="仿宋" w:eastAsia="仿宋"/>
          <w:b/>
          <w:sz w:val="30"/>
        </w:rPr>
      </w:pPr>
      <w:r>
        <w:rPr>
          <w:rFonts w:hint="eastAsia" w:ascii="仿宋" w:hAnsi="仿宋" w:eastAsia="仿宋"/>
          <w:b/>
          <w:sz w:val="30"/>
        </w:rPr>
        <w:t>（二）合理落实教学任务</w:t>
      </w:r>
    </w:p>
    <w:p w14:paraId="542401CC">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b/>
          <w:sz w:val="30"/>
          <w:highlight w:val="none"/>
        </w:rPr>
      </w:pPr>
      <w:r>
        <w:rPr>
          <w:rFonts w:hint="eastAsia" w:ascii="仿宋" w:hAnsi="仿宋" w:eastAsia="仿宋"/>
          <w:sz w:val="30"/>
          <w:highlight w:val="none"/>
          <w:lang w:val="en-US" w:eastAsia="zh-CN"/>
        </w:rPr>
        <w:t>1</w:t>
      </w:r>
      <w:r>
        <w:rPr>
          <w:rFonts w:hint="eastAsia" w:ascii="仿宋" w:hAnsi="仿宋" w:eastAsia="仿宋"/>
          <w:sz w:val="30"/>
          <w:highlight w:val="none"/>
        </w:rPr>
        <w:t>.对教师任教资格进行审核。除新进教师外，任教必须具备高校教师资格，</w:t>
      </w:r>
      <w:r>
        <w:rPr>
          <w:rFonts w:hint="eastAsia" w:ascii="仿宋" w:hAnsi="仿宋" w:eastAsia="仿宋"/>
          <w:sz w:val="30"/>
          <w:highlight w:val="none"/>
          <w:lang w:val="en-US" w:eastAsia="zh-CN"/>
        </w:rPr>
        <w:t>兼职</w:t>
      </w:r>
      <w:r>
        <w:rPr>
          <w:rFonts w:hint="eastAsia" w:ascii="仿宋" w:hAnsi="仿宋" w:eastAsia="仿宋"/>
          <w:sz w:val="30"/>
          <w:highlight w:val="none"/>
        </w:rPr>
        <w:t>教师</w:t>
      </w:r>
      <w:r>
        <w:rPr>
          <w:rFonts w:hint="eastAsia" w:ascii="仿宋" w:hAnsi="仿宋" w:eastAsia="仿宋"/>
          <w:sz w:val="30"/>
          <w:highlight w:val="none"/>
          <w:lang w:eastAsia="zh-CN"/>
        </w:rPr>
        <w:t>、</w:t>
      </w:r>
      <w:r>
        <w:rPr>
          <w:rFonts w:hint="eastAsia" w:ascii="仿宋" w:hAnsi="仿宋" w:eastAsia="仿宋"/>
          <w:sz w:val="30"/>
          <w:highlight w:val="none"/>
          <w:lang w:val="en-US" w:eastAsia="zh-CN"/>
        </w:rPr>
        <w:t>专职辅导员授课</w:t>
      </w:r>
      <w:r>
        <w:rPr>
          <w:rFonts w:hint="eastAsia" w:ascii="仿宋" w:hAnsi="仿宋" w:eastAsia="仿宋"/>
          <w:sz w:val="30"/>
          <w:highlight w:val="none"/>
        </w:rPr>
        <w:t>须在</w:t>
      </w:r>
      <w:r>
        <w:rPr>
          <w:rFonts w:hint="eastAsia" w:ascii="仿宋" w:hAnsi="仿宋" w:eastAsia="仿宋"/>
          <w:sz w:val="30"/>
          <w:highlight w:val="none"/>
          <w:lang w:val="en-US" w:eastAsia="zh-CN"/>
        </w:rPr>
        <w:t>教务</w:t>
      </w:r>
      <w:r>
        <w:rPr>
          <w:rFonts w:hint="eastAsia" w:ascii="仿宋" w:hAnsi="仿宋" w:eastAsia="仿宋"/>
          <w:sz w:val="30"/>
          <w:highlight w:val="none"/>
        </w:rPr>
        <w:t>处备案。</w:t>
      </w:r>
    </w:p>
    <w:p w14:paraId="205211E4">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2</w:t>
      </w:r>
      <w:r>
        <w:rPr>
          <w:rFonts w:hint="eastAsia" w:ascii="仿宋" w:hAnsi="仿宋" w:eastAsia="仿宋"/>
          <w:sz w:val="30"/>
        </w:rPr>
        <w:t>.</w:t>
      </w:r>
      <w:r>
        <w:rPr>
          <w:rFonts w:hint="eastAsia" w:ascii="仿宋" w:hAnsi="仿宋" w:eastAsia="仿宋"/>
          <w:sz w:val="30"/>
          <w:lang w:val="en-US" w:eastAsia="zh-CN"/>
        </w:rPr>
        <w:t>专任教师</w:t>
      </w:r>
    </w:p>
    <w:p w14:paraId="5053502A">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（1）系部每一名专任教师都必须排课（包括已经分配的行政兼课教师），且须承担大专课程，五年制大专前 2 年课程不包含在内。名单按人事处给出为准。拟升本专业的生师比等要求必须优于标准（例生师比 18:1，优于就是低于 18:1）。 没有排课的教师应标明原因（例如：产假）。开学第一周后，各系部调换教师必须通过申请。</w:t>
      </w:r>
    </w:p>
    <w:p w14:paraId="2D66DB61">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（2）根据学院相关规定，行政兼课教师，教学工作量原则上每周不超过4课时。借调到行政部门工作的教师工作量按行政兼课教师标准计算。</w:t>
      </w:r>
    </w:p>
    <w:p w14:paraId="0D3D7B79">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（3）专业课排课应满足2-3名教师可共担同一门课程授课任务，形成课程组。课程组排课，课程负责人和成员都必须具备任课资格。</w:t>
      </w:r>
    </w:p>
    <w:p w14:paraId="6549884B">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4）新入职教师按照《新入职教师上岗资格证实施办法》及《兴安职业技术学院关于实施高等学校教师助教制度的实施方案》要求进行排课。助教授课时，指导教师必须在场进行指导，如发现助教单独顶替指导教师授课，扣除指导教师全部课时费用，发现类似情况两次及以上，对指导教师进行停课处理。</w:t>
      </w:r>
    </w:p>
    <w:p w14:paraId="7129630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3.兼职教师</w:t>
      </w:r>
    </w:p>
    <w:p w14:paraId="0D52D747">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（1）必须保证兼职教师人数占专任教师25%(32%)以上，授课时数占</w:t>
      </w:r>
      <w:r>
        <w:rPr>
          <w:rFonts w:hint="eastAsia" w:ascii="仿宋" w:hAnsi="仿宋" w:eastAsia="仿宋"/>
          <w:sz w:val="30"/>
          <w:highlight w:val="none"/>
          <w:lang w:val="en-US" w:eastAsia="zh-CN"/>
        </w:rPr>
        <w:t>专业课总课时20%以上。分年级统计学时，比例按总学</w:t>
      </w:r>
      <w:r>
        <w:rPr>
          <w:rFonts w:hint="eastAsia" w:ascii="仿宋" w:hAnsi="仿宋" w:eastAsia="仿宋"/>
          <w:sz w:val="30"/>
          <w:lang w:val="en-US" w:eastAsia="zh-CN"/>
        </w:rPr>
        <w:t>时计算。</w:t>
      </w:r>
    </w:p>
    <w:p w14:paraId="25D2026B">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（2）兼职教师授课课程应为专业实践课。</w:t>
      </w:r>
    </w:p>
    <w:p w14:paraId="581FE9E3">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（3）有新聘兼职教师计划的院系，请将兼职教师名单</w:t>
      </w:r>
      <w:r>
        <w:rPr>
          <w:rFonts w:hint="eastAsia" w:ascii="仿宋" w:hAnsi="仿宋" w:eastAsia="仿宋"/>
          <w:sz w:val="30"/>
          <w:highlight w:val="none"/>
          <w:lang w:val="en-US" w:eastAsia="zh-CN"/>
        </w:rPr>
        <w:t>于开学前一周上报教务处，并按升本要求建立好兼职教师档案（档</w:t>
      </w:r>
      <w:r>
        <w:rPr>
          <w:rFonts w:hint="eastAsia" w:ascii="仿宋" w:hAnsi="仿宋" w:eastAsia="仿宋"/>
          <w:sz w:val="30"/>
          <w:lang w:val="en-US" w:eastAsia="zh-CN"/>
        </w:rPr>
        <w:t>案包括兼职教师简历、学历学位证明、职称证明、协议、课表等，注意：协议已到期的兼职教师，需要重新签订协议）。</w:t>
      </w:r>
    </w:p>
    <w:p w14:paraId="69B84052">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4）聘请工作要严格按照《兴安职业技术学院兼职教师聘请与管理办法》的要求进行资格审核，并组织教学能力及实践技能集中测评。系部评委应有3人参加，其中须包含主管教学的副主任和专业带头人。因兼职教师重点测评实践技能，测评地点应定在能开展理实一体教学的实训室。测评时间地点须提前通知教务处，并将测评结果及是否聘用意见报送教务处备案。</w:t>
      </w:r>
    </w:p>
    <w:p w14:paraId="605E0092">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（5）兼职教师授课时，系内需配备一名专任教师负责兼职教师档案及实训教学指导资料的指导、整理和提交。</w:t>
      </w:r>
    </w:p>
    <w:p w14:paraId="0D7547EC">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4.专职辅导员</w:t>
      </w:r>
    </w:p>
    <w:p w14:paraId="6C2A6107">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（1）授课专职辅导员应取得高校教师资格证书。</w:t>
      </w:r>
    </w:p>
    <w:p w14:paraId="687C2EB8">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2）新入职及未取得高校教师资格证书的专职辅导员应按照《兴安职业技术学院新入职教师上岗资格证实施办法》及《兴安职业技术学院关于实施高等学校教师助教制度的实施方案》经过培训并通过试讲，具备相关学科的专业知识和一定的教学能力，方可获得授课资格。</w:t>
      </w:r>
    </w:p>
    <w:p w14:paraId="25C822C8">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（3）授课课程教学任务应与学生的思想政治教育、心理健康教育等方面密切相关。</w:t>
      </w:r>
    </w:p>
    <w:p w14:paraId="71FA5B19">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highlight w:val="yellow"/>
          <w:lang w:val="en-US" w:eastAsia="zh-CN"/>
        </w:rPr>
      </w:pPr>
      <w:r>
        <w:rPr>
          <w:rFonts w:hint="eastAsia" w:ascii="仿宋" w:hAnsi="仿宋" w:eastAsia="仿宋"/>
          <w:sz w:val="30"/>
          <w:lang w:val="en-US" w:eastAsia="zh-CN"/>
        </w:rPr>
        <w:t>（4）专职辅导员承担课程教学任务，须于前一学期安排教学任务之前统一向教务处办理申请，并由开课部门统一组织试讲选拔，测评时间地点须提前通知教务处，并将测评结果及是否聘用意见报送教务处备案。</w:t>
      </w:r>
    </w:p>
    <w:p w14:paraId="71FF000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cs="仿宋"/>
          <w:i w:val="0"/>
          <w:iCs w:val="0"/>
          <w:caps w:val="0"/>
          <w:spacing w:val="0"/>
          <w:kern w:val="0"/>
          <w:sz w:val="28"/>
          <w:szCs w:val="28"/>
          <w:highlight w:val="none"/>
          <w:shd w:val="clear" w:fill="FFFFFF"/>
          <w:lang w:val="en-US" w:eastAsia="zh-CN" w:bidi="ar"/>
        </w:rPr>
      </w:pPr>
      <w:r>
        <w:rPr>
          <w:rFonts w:hint="eastAsia" w:ascii="仿宋" w:hAnsi="仿宋" w:eastAsia="仿宋"/>
          <w:sz w:val="30"/>
          <w:highlight w:val="none"/>
          <w:lang w:val="en-US" w:eastAsia="zh-CN"/>
        </w:rPr>
        <w:t>（5）</w:t>
      </w:r>
      <w:r>
        <w:rPr>
          <w:rFonts w:hint="eastAsia" w:ascii="仿宋" w:hAnsi="仿宋" w:eastAsia="仿宋" w:cs="仿宋"/>
          <w:i w:val="0"/>
          <w:iCs w:val="0"/>
          <w:caps w:val="0"/>
          <w:spacing w:val="0"/>
          <w:kern w:val="0"/>
          <w:sz w:val="28"/>
          <w:szCs w:val="28"/>
          <w:highlight w:val="none"/>
          <w:shd w:val="clear" w:fill="FFFFFF"/>
          <w:lang w:val="en-US" w:eastAsia="zh-CN" w:bidi="ar"/>
        </w:rPr>
        <w:t>申请程序：填写《兴安职业技术学院专职辅导员任课申请表》及《任课辅导员情况汇总表》，</w:t>
      </w:r>
      <w:r>
        <w:rPr>
          <w:rFonts w:hint="default" w:ascii="仿宋" w:hAnsi="仿宋" w:eastAsia="仿宋"/>
          <w:sz w:val="30"/>
          <w:highlight w:val="none"/>
          <w:lang w:val="en-US" w:eastAsia="zh-CN"/>
        </w:rPr>
        <w:t>提交学历、学位证书、</w:t>
      </w:r>
      <w:r>
        <w:rPr>
          <w:rFonts w:hint="eastAsia" w:ascii="仿宋" w:hAnsi="仿宋" w:eastAsia="仿宋"/>
          <w:sz w:val="30"/>
          <w:highlight w:val="none"/>
          <w:lang w:val="en-US" w:eastAsia="zh-CN"/>
        </w:rPr>
        <w:t>教师资格证书、</w:t>
      </w:r>
      <w:r>
        <w:rPr>
          <w:rFonts w:hint="default" w:ascii="仿宋" w:hAnsi="仿宋" w:eastAsia="仿宋"/>
          <w:sz w:val="30"/>
          <w:highlight w:val="none"/>
          <w:lang w:val="en-US" w:eastAsia="zh-CN"/>
        </w:rPr>
        <w:t>职称证书、双师</w:t>
      </w:r>
      <w:r>
        <w:rPr>
          <w:rFonts w:hint="eastAsia" w:ascii="仿宋" w:hAnsi="仿宋" w:eastAsia="仿宋"/>
          <w:sz w:val="30"/>
          <w:highlight w:val="none"/>
          <w:lang w:val="en-US" w:eastAsia="zh-CN"/>
        </w:rPr>
        <w:t>或职业资格</w:t>
      </w:r>
      <w:bookmarkStart w:id="0" w:name="_GoBack"/>
      <w:bookmarkEnd w:id="0"/>
      <w:r>
        <w:rPr>
          <w:rFonts w:hint="default" w:ascii="仿宋" w:hAnsi="仿宋" w:eastAsia="仿宋"/>
          <w:sz w:val="30"/>
          <w:highlight w:val="none"/>
          <w:lang w:val="en-US" w:eastAsia="zh-CN"/>
        </w:rPr>
        <w:t>证书等材料的复印件</w:t>
      </w:r>
      <w:r>
        <w:rPr>
          <w:rFonts w:hint="eastAsia" w:ascii="仿宋" w:hAnsi="仿宋" w:eastAsia="仿宋"/>
          <w:sz w:val="30"/>
          <w:highlight w:val="none"/>
          <w:lang w:val="en-US" w:eastAsia="zh-CN"/>
        </w:rPr>
        <w:t>，</w:t>
      </w:r>
      <w:r>
        <w:rPr>
          <w:rFonts w:hint="eastAsia" w:ascii="仿宋" w:hAnsi="仿宋" w:eastAsia="仿宋" w:cs="仿宋"/>
          <w:i w:val="0"/>
          <w:iCs w:val="0"/>
          <w:caps w:val="0"/>
          <w:spacing w:val="0"/>
          <w:kern w:val="0"/>
          <w:sz w:val="28"/>
          <w:szCs w:val="28"/>
          <w:highlight w:val="none"/>
          <w:shd w:val="clear" w:fill="FFFFFF"/>
          <w:lang w:val="en-US" w:eastAsia="zh-CN" w:bidi="ar"/>
        </w:rPr>
        <w:t>经个人申请、开课部门审核、学生工作处审核、教务处审批并备案。</w:t>
      </w:r>
    </w:p>
    <w:p w14:paraId="2DD4DDEF">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highlight w:val="none"/>
          <w:lang w:val="en-US" w:eastAsia="zh-CN"/>
        </w:rPr>
      </w:pPr>
      <w:r>
        <w:rPr>
          <w:rFonts w:hint="eastAsia" w:ascii="仿宋" w:hAnsi="仿宋" w:eastAsia="仿宋"/>
          <w:sz w:val="30"/>
          <w:highlight w:val="none"/>
          <w:lang w:val="en-US" w:eastAsia="zh-CN"/>
        </w:rPr>
        <w:t>5.教室</w:t>
      </w:r>
    </w:p>
    <w:p w14:paraId="0ABF48DD">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highlight w:val="none"/>
          <w:lang w:val="en-US" w:eastAsia="zh-CN"/>
        </w:rPr>
      </w:pPr>
      <w:r>
        <w:rPr>
          <w:rFonts w:hint="eastAsia" w:ascii="仿宋" w:hAnsi="仿宋" w:eastAsia="仿宋"/>
          <w:sz w:val="30"/>
          <w:highlight w:val="none"/>
          <w:lang w:val="en-US" w:eastAsia="zh-CN"/>
        </w:rPr>
        <w:t>（1）教室使用原则上均为流动排课，无法满足情况下各院系之间教室可互通互用。</w:t>
      </w:r>
    </w:p>
    <w:p w14:paraId="16E5CE4C">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highlight w:val="none"/>
          <w:lang w:val="en-US" w:eastAsia="zh-CN"/>
        </w:rPr>
      </w:pPr>
      <w:r>
        <w:rPr>
          <w:rFonts w:hint="eastAsia" w:ascii="仿宋" w:hAnsi="仿宋" w:eastAsia="仿宋"/>
          <w:sz w:val="30"/>
          <w:highlight w:val="none"/>
          <w:lang w:val="en-US" w:eastAsia="zh-CN"/>
        </w:rPr>
        <w:t>（2）教室功能不得随意改变，调整或功能变化按《兴安职业技术学院教室使用管理办法》文件执行。</w:t>
      </w:r>
    </w:p>
    <w:p w14:paraId="2516ABF4">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highlight w:val="none"/>
          <w:lang w:val="en-US" w:eastAsia="zh-CN"/>
        </w:rPr>
        <w:t>（3）下学期排课教室发生变更的院系请提前在教务系统做好信息维护。</w:t>
      </w:r>
    </w:p>
    <w:p w14:paraId="7D8D7D53">
      <w:pPr>
        <w:keepNext w:val="0"/>
        <w:keepLines w:val="0"/>
        <w:pageBreakBefore w:val="0"/>
        <w:widowControl w:val="0"/>
        <w:kinsoku/>
        <w:wordWrap/>
        <w:overflowPunct/>
        <w:topLinePunct w:val="0"/>
        <w:autoSpaceDE/>
        <w:autoSpaceDN/>
        <w:bidi w:val="0"/>
        <w:adjustRightInd/>
        <w:snapToGrid/>
        <w:spacing w:line="400" w:lineRule="exact"/>
        <w:ind w:firstLine="602" w:firstLineChars="200"/>
        <w:textAlignment w:val="auto"/>
        <w:rPr>
          <w:rFonts w:hint="eastAsia" w:ascii="仿宋" w:hAnsi="仿宋" w:eastAsia="仿宋"/>
          <w:b/>
          <w:sz w:val="30"/>
        </w:rPr>
      </w:pPr>
      <w:r>
        <w:rPr>
          <w:rFonts w:hint="eastAsia" w:ascii="仿宋" w:hAnsi="仿宋" w:eastAsia="仿宋"/>
          <w:b/>
          <w:sz w:val="30"/>
        </w:rPr>
        <w:t>（三）排课进度安排</w:t>
      </w:r>
    </w:p>
    <w:p w14:paraId="200CA1AA">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vertAlign w:val="baseline"/>
        </w:rPr>
      </w:pPr>
      <w:r>
        <w:rPr>
          <w:rFonts w:hint="eastAsia" w:ascii="仿宋" w:hAnsi="仿宋" w:eastAsia="仿宋"/>
          <w:sz w:val="30"/>
        </w:rPr>
        <w:t>各教学部门根据人才培养方案做好各教学计划的任务安排，</w:t>
      </w:r>
      <w:r>
        <w:rPr>
          <w:rFonts w:ascii="仿宋" w:hAnsi="仿宋" w:eastAsia="仿宋"/>
          <w:sz w:val="30"/>
        </w:rPr>
        <w:t>所有教学安排必须在</w:t>
      </w:r>
      <w:r>
        <w:rPr>
          <w:rFonts w:hint="eastAsia" w:ascii="仿宋" w:hAnsi="仿宋" w:eastAsia="仿宋"/>
          <w:sz w:val="30"/>
          <w:highlight w:val="none"/>
        </w:rPr>
        <w:t>教务系统中精</w:t>
      </w:r>
      <w:r>
        <w:rPr>
          <w:rFonts w:hint="eastAsia" w:ascii="仿宋" w:hAnsi="仿宋" w:eastAsia="仿宋"/>
          <w:sz w:val="30"/>
        </w:rPr>
        <w:t>准完成开课安排及课表编排工作。</w:t>
      </w:r>
      <w:r>
        <w:rPr>
          <w:rFonts w:ascii="仿宋" w:hAnsi="仿宋" w:eastAsia="仿宋"/>
          <w:sz w:val="30"/>
        </w:rPr>
        <w:t>课表一经排定，不得随意变更。</w:t>
      </w:r>
    </w:p>
    <w:tbl>
      <w:tblPr>
        <w:tblStyle w:val="5"/>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34"/>
        <w:gridCol w:w="6885"/>
      </w:tblGrid>
      <w:tr w14:paraId="09D3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1734" w:type="dxa"/>
            <w:vAlign w:val="center"/>
          </w:tcPr>
          <w:p w14:paraId="54A7AAE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时间安排</w:t>
            </w:r>
          </w:p>
        </w:tc>
        <w:tc>
          <w:tcPr>
            <w:tcW w:w="6885" w:type="dxa"/>
            <w:vAlign w:val="center"/>
          </w:tcPr>
          <w:p w14:paraId="33D599E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b w:val="0"/>
                <w:bCs w:val="0"/>
                <w:sz w:val="24"/>
                <w:szCs w:val="24"/>
                <w:vertAlign w:val="baseline"/>
                <w:lang w:val="en-US" w:eastAsia="zh-CN"/>
              </w:rPr>
            </w:pPr>
            <w:r>
              <w:rPr>
                <w:rFonts w:hint="eastAsia" w:ascii="黑体" w:hAnsi="黑体" w:eastAsia="黑体" w:cs="黑体"/>
                <w:b w:val="0"/>
                <w:bCs w:val="0"/>
                <w:sz w:val="24"/>
                <w:szCs w:val="24"/>
                <w:vertAlign w:val="baseline"/>
                <w:lang w:val="en-US" w:eastAsia="zh-CN"/>
              </w:rPr>
              <w:t>任务内容</w:t>
            </w:r>
          </w:p>
        </w:tc>
      </w:tr>
      <w:tr w14:paraId="412DF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41AEE9F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vertAlign w:val="baseline"/>
              </w:rPr>
            </w:pPr>
            <w:r>
              <w:rPr>
                <w:rFonts w:hint="eastAsia" w:ascii="仿宋" w:hAnsi="仿宋" w:eastAsia="仿宋"/>
                <w:sz w:val="24"/>
                <w:szCs w:val="24"/>
              </w:rPr>
              <w:t>10月21日</w:t>
            </w:r>
            <w:r>
              <w:rPr>
                <w:rFonts w:hint="eastAsia" w:ascii="仿宋" w:hAnsi="仿宋" w:eastAsia="仿宋"/>
                <w:sz w:val="24"/>
                <w:szCs w:val="24"/>
                <w:lang w:val="en-US" w:eastAsia="zh-CN"/>
              </w:rPr>
              <w:t>至</w:t>
            </w:r>
            <w:r>
              <w:rPr>
                <w:rFonts w:hint="eastAsia" w:ascii="仿宋" w:hAnsi="仿宋" w:eastAsia="仿宋"/>
                <w:sz w:val="24"/>
                <w:szCs w:val="24"/>
              </w:rPr>
              <w:t>10月25日</w:t>
            </w:r>
          </w:p>
        </w:tc>
        <w:tc>
          <w:tcPr>
            <w:tcW w:w="6885" w:type="dxa"/>
            <w:vAlign w:val="center"/>
          </w:tcPr>
          <w:p w14:paraId="1FCA69D8">
            <w:pPr>
              <w:keepNext w:val="0"/>
              <w:keepLines w:val="0"/>
              <w:pageBreakBefore w:val="0"/>
              <w:widowControl w:val="0"/>
              <w:kinsoku/>
              <w:wordWrap/>
              <w:overflowPunct/>
              <w:topLinePunct w:val="0"/>
              <w:autoSpaceDE/>
              <w:autoSpaceDN/>
              <w:bidi w:val="0"/>
              <w:adjustRightInd/>
              <w:snapToGrid/>
              <w:spacing w:line="260" w:lineRule="exact"/>
              <w:ind w:firstLine="480" w:firstLineChars="200"/>
              <w:jc w:val="center"/>
              <w:textAlignment w:val="auto"/>
              <w:rPr>
                <w:rFonts w:hint="eastAsia" w:ascii="仿宋" w:hAnsi="仿宋" w:eastAsia="仿宋"/>
                <w:sz w:val="24"/>
                <w:szCs w:val="24"/>
                <w:vertAlign w:val="baseline"/>
                <w:lang w:eastAsia="zh-CN"/>
              </w:rPr>
            </w:pPr>
            <w:r>
              <w:rPr>
                <w:rFonts w:hint="eastAsia" w:ascii="仿宋" w:hAnsi="仿宋" w:eastAsia="仿宋"/>
                <w:sz w:val="24"/>
                <w:szCs w:val="24"/>
              </w:rPr>
              <w:t>在教务系统中完成并审核2024-2025学年第二学期所有专业的教学执行计划；公共课部门需要提交公共必修课的执行计划</w:t>
            </w:r>
            <w:r>
              <w:rPr>
                <w:rFonts w:hint="eastAsia" w:ascii="仿宋" w:hAnsi="仿宋" w:eastAsia="仿宋"/>
                <w:sz w:val="24"/>
                <w:szCs w:val="24"/>
                <w:lang w:eastAsia="zh-CN"/>
              </w:rPr>
              <w:t>；</w:t>
            </w:r>
          </w:p>
        </w:tc>
      </w:tr>
      <w:tr w14:paraId="3E7AF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734" w:type="dxa"/>
            <w:vAlign w:val="center"/>
          </w:tcPr>
          <w:p w14:paraId="602D6A6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rPr>
            </w:pPr>
            <w:r>
              <w:rPr>
                <w:rFonts w:hint="eastAsia" w:ascii="仿宋" w:hAnsi="仿宋" w:eastAsia="仿宋"/>
                <w:sz w:val="24"/>
                <w:szCs w:val="24"/>
              </w:rPr>
              <w:t>10月28日</w:t>
            </w:r>
            <w:r>
              <w:rPr>
                <w:rFonts w:hint="eastAsia" w:ascii="仿宋" w:hAnsi="仿宋" w:eastAsia="仿宋"/>
                <w:sz w:val="24"/>
                <w:szCs w:val="24"/>
                <w:lang w:val="en-US" w:eastAsia="zh-CN"/>
              </w:rPr>
              <w:t>至</w:t>
            </w:r>
            <w:r>
              <w:rPr>
                <w:rFonts w:hint="eastAsia" w:ascii="仿宋" w:hAnsi="仿宋" w:eastAsia="仿宋"/>
                <w:sz w:val="24"/>
                <w:szCs w:val="24"/>
              </w:rPr>
              <w:t>11月1日</w:t>
            </w:r>
          </w:p>
        </w:tc>
        <w:tc>
          <w:tcPr>
            <w:tcW w:w="6885" w:type="dxa"/>
            <w:vAlign w:val="center"/>
          </w:tcPr>
          <w:p w14:paraId="7A0FCC5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rPr>
            </w:pPr>
            <w:r>
              <w:rPr>
                <w:rFonts w:hint="eastAsia" w:ascii="仿宋" w:hAnsi="仿宋" w:eastAsia="仿宋"/>
                <w:sz w:val="24"/>
                <w:szCs w:val="24"/>
              </w:rPr>
              <w:t>完成下学期主修专业任务落实。</w:t>
            </w:r>
          </w:p>
        </w:tc>
      </w:tr>
      <w:tr w14:paraId="74688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15BB2EE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vertAlign w:val="baseline"/>
              </w:rPr>
            </w:pPr>
            <w:r>
              <w:rPr>
                <w:rFonts w:hint="eastAsia" w:ascii="仿宋" w:hAnsi="仿宋" w:eastAsia="仿宋"/>
                <w:sz w:val="24"/>
                <w:szCs w:val="24"/>
                <w:lang w:val="en-US" w:eastAsia="zh-CN"/>
              </w:rPr>
              <w:t xml:space="preserve"> </w:t>
            </w:r>
            <w:r>
              <w:rPr>
                <w:rFonts w:hint="eastAsia" w:ascii="仿宋" w:hAnsi="仿宋" w:eastAsia="仿宋"/>
                <w:sz w:val="24"/>
                <w:szCs w:val="24"/>
              </w:rPr>
              <w:t>11月4日</w:t>
            </w:r>
            <w:r>
              <w:rPr>
                <w:rFonts w:hint="eastAsia" w:ascii="仿宋" w:hAnsi="仿宋" w:eastAsia="仿宋"/>
                <w:sz w:val="24"/>
                <w:szCs w:val="24"/>
                <w:lang w:val="en-US" w:eastAsia="zh-CN"/>
              </w:rPr>
              <w:t>至</w:t>
            </w:r>
            <w:r>
              <w:rPr>
                <w:rFonts w:hint="eastAsia" w:ascii="仿宋" w:hAnsi="仿宋" w:eastAsia="仿宋"/>
                <w:sz w:val="24"/>
                <w:szCs w:val="24"/>
              </w:rPr>
              <w:t>11月8日</w:t>
            </w:r>
          </w:p>
        </w:tc>
        <w:tc>
          <w:tcPr>
            <w:tcW w:w="6885" w:type="dxa"/>
            <w:vAlign w:val="center"/>
          </w:tcPr>
          <w:p w14:paraId="08275D3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rPr>
            </w:pPr>
            <w:r>
              <w:rPr>
                <w:rFonts w:hint="eastAsia" w:ascii="仿宋" w:hAnsi="仿宋" w:eastAsia="仿宋"/>
                <w:sz w:val="24"/>
                <w:szCs w:val="24"/>
              </w:rPr>
              <w:t>排公共课课表</w:t>
            </w:r>
          </w:p>
        </w:tc>
      </w:tr>
      <w:tr w14:paraId="6EF0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06F6101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vertAlign w:val="baseline"/>
              </w:rPr>
            </w:pPr>
            <w:r>
              <w:rPr>
                <w:rFonts w:hint="eastAsia" w:ascii="仿宋" w:hAnsi="仿宋" w:eastAsia="仿宋"/>
                <w:sz w:val="24"/>
                <w:szCs w:val="24"/>
              </w:rPr>
              <w:t>11月11日</w:t>
            </w:r>
            <w:r>
              <w:rPr>
                <w:rFonts w:hint="eastAsia" w:ascii="仿宋" w:hAnsi="仿宋" w:eastAsia="仿宋"/>
                <w:sz w:val="24"/>
                <w:szCs w:val="24"/>
                <w:lang w:val="en-US" w:eastAsia="zh-CN"/>
              </w:rPr>
              <w:t>至</w:t>
            </w:r>
            <w:r>
              <w:rPr>
                <w:rFonts w:hint="eastAsia" w:ascii="仿宋" w:hAnsi="仿宋" w:eastAsia="仿宋"/>
                <w:sz w:val="24"/>
                <w:szCs w:val="24"/>
              </w:rPr>
              <w:t>11月15日</w:t>
            </w:r>
          </w:p>
        </w:tc>
        <w:tc>
          <w:tcPr>
            <w:tcW w:w="6885" w:type="dxa"/>
            <w:vAlign w:val="center"/>
          </w:tcPr>
          <w:p w14:paraId="2BC7F4F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vertAlign w:val="baseline"/>
              </w:rPr>
            </w:pPr>
            <w:r>
              <w:rPr>
                <w:rFonts w:hint="eastAsia" w:ascii="仿宋" w:hAnsi="仿宋" w:eastAsia="仿宋"/>
                <w:sz w:val="24"/>
                <w:szCs w:val="24"/>
              </w:rPr>
              <w:t>排专业课课表</w:t>
            </w:r>
          </w:p>
        </w:tc>
      </w:tr>
      <w:tr w14:paraId="3E461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34" w:type="dxa"/>
            <w:vAlign w:val="center"/>
          </w:tcPr>
          <w:p w14:paraId="3E68F84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vertAlign w:val="baseline"/>
              </w:rPr>
            </w:pPr>
            <w:r>
              <w:rPr>
                <w:rFonts w:hint="eastAsia" w:ascii="仿宋" w:hAnsi="仿宋" w:eastAsia="仿宋"/>
                <w:sz w:val="24"/>
                <w:szCs w:val="24"/>
              </w:rPr>
              <w:t>11月18日</w:t>
            </w:r>
            <w:r>
              <w:rPr>
                <w:rFonts w:hint="eastAsia" w:ascii="仿宋" w:hAnsi="仿宋" w:eastAsia="仿宋"/>
                <w:sz w:val="24"/>
                <w:szCs w:val="24"/>
                <w:lang w:val="en-US" w:eastAsia="zh-CN"/>
              </w:rPr>
              <w:t>至</w:t>
            </w:r>
            <w:r>
              <w:rPr>
                <w:rFonts w:hint="eastAsia" w:ascii="仿宋" w:hAnsi="仿宋" w:eastAsia="仿宋"/>
                <w:sz w:val="24"/>
                <w:szCs w:val="24"/>
              </w:rPr>
              <w:t>11月22</w:t>
            </w:r>
          </w:p>
        </w:tc>
        <w:tc>
          <w:tcPr>
            <w:tcW w:w="6885" w:type="dxa"/>
            <w:vAlign w:val="center"/>
          </w:tcPr>
          <w:p w14:paraId="582B223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仿宋" w:hAnsi="仿宋" w:eastAsia="仿宋"/>
                <w:sz w:val="24"/>
                <w:szCs w:val="24"/>
                <w:vertAlign w:val="baseline"/>
              </w:rPr>
            </w:pPr>
            <w:r>
              <w:rPr>
                <w:rFonts w:hint="eastAsia" w:ascii="仿宋" w:hAnsi="仿宋" w:eastAsia="仿宋"/>
                <w:sz w:val="24"/>
                <w:szCs w:val="24"/>
              </w:rPr>
              <w:t>在教学系统中完成配课</w:t>
            </w:r>
          </w:p>
        </w:tc>
      </w:tr>
    </w:tbl>
    <w:p w14:paraId="0E430C9E">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三、教学运行：</w:t>
      </w:r>
    </w:p>
    <w:p w14:paraId="6696059E">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1.每个教学班选课人数必须达到20人才可开班，如有特殊情况必须提前申请报备。</w:t>
      </w:r>
    </w:p>
    <w:p w14:paraId="5FA8EB48">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2.实践课安排在相应实践地点，并填写实践课程教学计划运行表。</w:t>
      </w:r>
    </w:p>
    <w:p w14:paraId="27829826">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3.下学期如有校外实习提前离校的专业，专业课和公共课需按人培学时，在学生离校前把全部课时开完（排课时在系统上把课时全部开出）。实践课必须提前规划好，在系统内排课，系统不能实现，须有纸质说明（按系提交，写清课程、时间、实践地点安排）开课前一周报教务处备案。</w:t>
      </w:r>
    </w:p>
    <w:p w14:paraId="45A11031">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4.各班级1、2节均须排课，避免空堂。</w:t>
      </w:r>
    </w:p>
    <w:p w14:paraId="425AAE1D">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lang w:val="en-US" w:eastAsia="zh-CN"/>
        </w:rPr>
      </w:pPr>
      <w:r>
        <w:rPr>
          <w:rFonts w:hint="eastAsia" w:ascii="仿宋" w:hAnsi="仿宋" w:eastAsia="仿宋"/>
          <w:sz w:val="30"/>
          <w:lang w:val="en-US" w:eastAsia="zh-CN"/>
        </w:rPr>
        <w:t>5.专任教师9、10节和周六、日不允许排课、调课。7、8节非必要不允许排课。特殊情况需提交说明到教务处。</w:t>
      </w:r>
    </w:p>
    <w:p w14:paraId="2600DB11">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rPr>
      </w:pPr>
      <w:r>
        <w:rPr>
          <w:rFonts w:hint="eastAsia" w:ascii="仿宋" w:hAnsi="仿宋" w:eastAsia="仿宋"/>
          <w:sz w:val="30"/>
          <w:lang w:val="en-US" w:eastAsia="zh-CN"/>
        </w:rPr>
        <w:t>6.</w:t>
      </w:r>
      <w:r>
        <w:rPr>
          <w:rFonts w:hint="eastAsia" w:ascii="仿宋" w:hAnsi="仿宋" w:eastAsia="仿宋"/>
          <w:sz w:val="30"/>
        </w:rPr>
        <w:t>除集中实践课须连续时间上课外，其他课程原则上不能连排</w:t>
      </w:r>
      <w:r>
        <w:rPr>
          <w:rFonts w:hint="eastAsia" w:ascii="仿宋" w:hAnsi="仿宋" w:eastAsia="仿宋"/>
          <w:sz w:val="30"/>
          <w:lang w:val="en-US" w:eastAsia="zh-CN"/>
        </w:rPr>
        <w:t>4节</w:t>
      </w:r>
      <w:r>
        <w:rPr>
          <w:rFonts w:hint="eastAsia" w:ascii="仿宋" w:hAnsi="仿宋" w:eastAsia="仿宋"/>
          <w:sz w:val="30"/>
        </w:rPr>
        <w:t>。</w:t>
      </w:r>
    </w:p>
    <w:p w14:paraId="63589F59">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7.公共课有单、双周或前、后半学期排课，原则上应排在每周同一上课时间，并注意前后接续，避免出现单周满课、双周空堂此类现象。</w:t>
      </w:r>
    </w:p>
    <w:p w14:paraId="6CDEB255">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default" w:ascii="仿宋" w:hAnsi="仿宋" w:eastAsia="仿宋"/>
          <w:sz w:val="30"/>
          <w:lang w:val="en-US" w:eastAsia="zh-CN"/>
        </w:rPr>
      </w:pPr>
      <w:r>
        <w:rPr>
          <w:rFonts w:hint="eastAsia" w:ascii="仿宋" w:hAnsi="仿宋" w:eastAsia="仿宋"/>
          <w:sz w:val="30"/>
          <w:lang w:val="en-US" w:eastAsia="zh-CN"/>
        </w:rPr>
        <w:t>8.原则上开学第一周后，课表不再调整，如果特殊原因课表调整后，必须及时更换班级外粘贴的课表。</w:t>
      </w:r>
    </w:p>
    <w:p w14:paraId="6BCBA392">
      <w:pPr>
        <w:keepNext w:val="0"/>
        <w:keepLines w:val="0"/>
        <w:pageBreakBefore w:val="0"/>
        <w:widowControl w:val="0"/>
        <w:kinsoku/>
        <w:wordWrap/>
        <w:overflowPunct/>
        <w:topLinePunct w:val="0"/>
        <w:autoSpaceDE/>
        <w:autoSpaceDN/>
        <w:bidi w:val="0"/>
        <w:adjustRightInd/>
        <w:snapToGrid/>
        <w:spacing w:line="400" w:lineRule="exact"/>
        <w:ind w:firstLine="600" w:firstLineChars="200"/>
        <w:textAlignment w:val="auto"/>
        <w:rPr>
          <w:rFonts w:hint="eastAsia" w:ascii="仿宋" w:hAnsi="仿宋" w:eastAsia="仿宋"/>
          <w:sz w:val="30"/>
        </w:rPr>
      </w:pPr>
    </w:p>
    <w:p w14:paraId="2C8EE3C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sz w:val="30"/>
        </w:rPr>
      </w:pPr>
    </w:p>
    <w:p w14:paraId="7E0497D5">
      <w:pPr>
        <w:spacing w:line="500" w:lineRule="exact"/>
        <w:ind w:firstLine="600" w:firstLineChars="200"/>
        <w:jc w:val="right"/>
        <w:rPr>
          <w:rFonts w:hint="eastAsia" w:ascii="仿宋" w:hAnsi="仿宋" w:eastAsia="仿宋"/>
          <w:sz w:val="30"/>
          <w:lang w:val="en-US" w:eastAsia="zh-CN"/>
        </w:rPr>
      </w:pPr>
      <w:r>
        <w:rPr>
          <w:rFonts w:hint="eastAsia" w:ascii="仿宋" w:hAnsi="仿宋" w:eastAsia="仿宋"/>
          <w:sz w:val="30"/>
          <w:lang w:val="en-US" w:eastAsia="zh-CN"/>
        </w:rPr>
        <w:t>教务处</w:t>
      </w:r>
    </w:p>
    <w:p w14:paraId="39FA1E42">
      <w:pPr>
        <w:spacing w:line="500" w:lineRule="exact"/>
        <w:ind w:firstLine="600" w:firstLineChars="200"/>
        <w:jc w:val="right"/>
        <w:rPr>
          <w:rFonts w:hint="eastAsia" w:ascii="仿宋" w:hAnsi="仿宋" w:eastAsia="仿宋"/>
          <w:sz w:val="30"/>
          <w:lang w:val="en-US" w:eastAsia="zh-CN"/>
        </w:rPr>
      </w:pPr>
      <w:r>
        <w:rPr>
          <w:rFonts w:hint="eastAsia" w:ascii="仿宋" w:hAnsi="仿宋" w:eastAsia="仿宋"/>
          <w:sz w:val="30"/>
          <w:lang w:val="en-US" w:eastAsia="zh-CN"/>
        </w:rPr>
        <w:t>2024年11月15日</w:t>
      </w:r>
    </w:p>
    <w:p w14:paraId="2EC1CD16">
      <w:pPr>
        <w:spacing w:line="500" w:lineRule="exact"/>
        <w:jc w:val="both"/>
        <w:rPr>
          <w:rFonts w:hint="eastAsia" w:ascii="仿宋" w:hAnsi="仿宋" w:eastAsia="仿宋"/>
          <w:sz w:val="30"/>
          <w:lang w:val="en-US" w:eastAsia="zh-CN"/>
        </w:rPr>
      </w:pPr>
    </w:p>
    <w:p w14:paraId="3E8EA4C2">
      <w:pPr>
        <w:spacing w:line="500" w:lineRule="exact"/>
        <w:jc w:val="both"/>
        <w:rPr>
          <w:rFonts w:hint="eastAsia" w:ascii="仿宋" w:hAnsi="仿宋" w:eastAsia="仿宋"/>
          <w:sz w:val="30"/>
          <w:lang w:val="en-US" w:eastAsia="zh-CN"/>
        </w:rPr>
      </w:pPr>
      <w:r>
        <w:rPr>
          <w:rFonts w:hint="eastAsia" w:ascii="仿宋" w:hAnsi="仿宋" w:eastAsia="仿宋"/>
          <w:sz w:val="30"/>
          <w:lang w:val="en-US" w:eastAsia="zh-CN"/>
        </w:rPr>
        <w:t>附件：1.《兴安职业技术学院新入职教师上岗资格证实施办法》</w:t>
      </w:r>
    </w:p>
    <w:p w14:paraId="056298EE">
      <w:pPr>
        <w:numPr>
          <w:ilvl w:val="0"/>
          <w:numId w:val="1"/>
        </w:numPr>
        <w:spacing w:line="500" w:lineRule="exact"/>
        <w:ind w:firstLine="900" w:firstLineChars="300"/>
        <w:jc w:val="both"/>
        <w:rPr>
          <w:rFonts w:hint="eastAsia" w:ascii="仿宋" w:hAnsi="仿宋" w:eastAsia="仿宋"/>
          <w:sz w:val="30"/>
          <w:lang w:val="en-US" w:eastAsia="zh-CN"/>
        </w:rPr>
      </w:pPr>
      <w:r>
        <w:rPr>
          <w:rFonts w:hint="eastAsia" w:ascii="仿宋" w:hAnsi="仿宋" w:eastAsia="仿宋"/>
          <w:sz w:val="30"/>
          <w:lang w:val="en-US" w:eastAsia="zh-CN"/>
        </w:rPr>
        <w:t>《兴安职业技术学院关于实施高等学校教师助教制度的实施方案》</w:t>
      </w:r>
    </w:p>
    <w:p w14:paraId="11A1410E">
      <w:pPr>
        <w:numPr>
          <w:ilvl w:val="0"/>
          <w:numId w:val="1"/>
        </w:numPr>
        <w:spacing w:line="500" w:lineRule="exact"/>
        <w:ind w:firstLine="900" w:firstLineChars="300"/>
        <w:jc w:val="both"/>
        <w:rPr>
          <w:rFonts w:hint="default" w:ascii="仿宋" w:hAnsi="仿宋" w:eastAsia="仿宋"/>
          <w:sz w:val="30"/>
          <w:lang w:val="en-US" w:eastAsia="zh-CN"/>
        </w:rPr>
      </w:pPr>
      <w:r>
        <w:rPr>
          <w:rFonts w:hint="eastAsia" w:ascii="仿宋" w:hAnsi="仿宋" w:eastAsia="仿宋"/>
          <w:sz w:val="30"/>
          <w:lang w:val="en-US" w:eastAsia="zh-CN"/>
        </w:rPr>
        <w:t>《兴安职业技术学院兼职教师聘请与管理办法》</w:t>
      </w:r>
    </w:p>
    <w:p w14:paraId="1CA9F1D2">
      <w:pPr>
        <w:numPr>
          <w:ilvl w:val="0"/>
          <w:numId w:val="1"/>
        </w:numPr>
        <w:spacing w:line="500" w:lineRule="exact"/>
        <w:ind w:firstLine="900" w:firstLineChars="300"/>
        <w:jc w:val="both"/>
        <w:rPr>
          <w:rFonts w:hint="default" w:ascii="仿宋" w:hAnsi="仿宋" w:eastAsia="仿宋"/>
          <w:sz w:val="30"/>
          <w:lang w:val="en-US" w:eastAsia="zh-CN"/>
        </w:rPr>
      </w:pPr>
      <w:r>
        <w:rPr>
          <w:rFonts w:hint="eastAsia" w:ascii="仿宋" w:hAnsi="仿宋" w:eastAsia="仿宋"/>
          <w:sz w:val="30"/>
          <w:highlight w:val="none"/>
          <w:lang w:val="en-US" w:eastAsia="zh-CN"/>
        </w:rPr>
        <w:t>《兴安职业技术学院教室使用管理办法》</w:t>
      </w:r>
    </w:p>
    <w:p w14:paraId="5C4D1DA5">
      <w:pPr>
        <w:numPr>
          <w:ilvl w:val="0"/>
          <w:numId w:val="1"/>
        </w:numPr>
        <w:spacing w:line="500" w:lineRule="exact"/>
        <w:ind w:firstLine="900" w:firstLineChars="300"/>
        <w:jc w:val="both"/>
        <w:rPr>
          <w:rFonts w:hint="default" w:ascii="仿宋" w:hAnsi="仿宋" w:eastAsia="仿宋"/>
          <w:sz w:val="30"/>
          <w:lang w:val="en-US" w:eastAsia="zh-CN"/>
        </w:rPr>
      </w:pPr>
      <w:r>
        <w:rPr>
          <w:rFonts w:hint="eastAsia" w:ascii="仿宋" w:hAnsi="仿宋" w:eastAsia="仿宋"/>
          <w:sz w:val="30"/>
          <w:lang w:val="en-US" w:eastAsia="zh-CN"/>
        </w:rPr>
        <w:t>《兴安职业技术学院专职辅导员任课申请表》</w:t>
      </w:r>
    </w:p>
    <w:p w14:paraId="48555270">
      <w:pPr>
        <w:numPr>
          <w:ilvl w:val="0"/>
          <w:numId w:val="1"/>
        </w:numPr>
        <w:spacing w:line="500" w:lineRule="exact"/>
        <w:ind w:firstLine="900" w:firstLineChars="300"/>
        <w:jc w:val="both"/>
        <w:rPr>
          <w:rFonts w:hint="default" w:ascii="仿宋" w:hAnsi="仿宋" w:eastAsia="仿宋"/>
          <w:sz w:val="30"/>
          <w:lang w:val="en-US" w:eastAsia="zh-CN"/>
        </w:rPr>
      </w:pPr>
      <w:r>
        <w:rPr>
          <w:rFonts w:hint="eastAsia" w:ascii="仿宋" w:hAnsi="仿宋" w:eastAsia="仿宋"/>
          <w:sz w:val="30"/>
          <w:lang w:val="en-US" w:eastAsia="zh-CN"/>
        </w:rPr>
        <w:t>《</w:t>
      </w:r>
      <w:r>
        <w:rPr>
          <w:rFonts w:hint="default" w:ascii="仿宋" w:hAnsi="仿宋" w:eastAsia="仿宋"/>
          <w:sz w:val="30"/>
          <w:lang w:val="en-US" w:eastAsia="zh-CN"/>
        </w:rPr>
        <w:t>任课辅导员基本情况汇总表</w:t>
      </w:r>
      <w:r>
        <w:rPr>
          <w:rFonts w:hint="eastAsia" w:ascii="仿宋" w:hAnsi="仿宋" w:eastAsia="仿宋"/>
          <w:sz w:val="30"/>
          <w:lang w:val="en-US" w:eastAsia="zh-CN"/>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DFB6381-9DAC-4EF7-BDA1-D8D666138B3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FFA21376-7ECC-496D-8D50-6328D91E34BC}"/>
  </w:font>
  <w:font w:name="仿宋">
    <w:panose1 w:val="02010609060101010101"/>
    <w:charset w:val="86"/>
    <w:family w:val="auto"/>
    <w:pitch w:val="default"/>
    <w:sig w:usb0="800002BF" w:usb1="38CF7CFA" w:usb2="00000016" w:usb3="00000000" w:csb0="00040001" w:csb1="00000000"/>
    <w:embedRegular r:id="rId3" w:fontKey="{B40A21D8-9161-47CF-8476-27FCD3FAFA72}"/>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79F7AE"/>
    <w:multiLevelType w:val="singleLevel"/>
    <w:tmpl w:val="F679F7AE"/>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Zjk1ZTI1YzgxNjE2M2ZiNTA5MDcyZmFlNjQ0ZDMifQ=="/>
  </w:docVars>
  <w:rsids>
    <w:rsidRoot w:val="44E71E8C"/>
    <w:rsid w:val="022A6766"/>
    <w:rsid w:val="03127926"/>
    <w:rsid w:val="04510922"/>
    <w:rsid w:val="04FE63B4"/>
    <w:rsid w:val="061C45BE"/>
    <w:rsid w:val="09CF031F"/>
    <w:rsid w:val="0A2564BB"/>
    <w:rsid w:val="0A2D14EA"/>
    <w:rsid w:val="0D6A1FED"/>
    <w:rsid w:val="0ED74921"/>
    <w:rsid w:val="1173012A"/>
    <w:rsid w:val="11D54941"/>
    <w:rsid w:val="1272666B"/>
    <w:rsid w:val="12861A38"/>
    <w:rsid w:val="137B06E8"/>
    <w:rsid w:val="13A66595"/>
    <w:rsid w:val="156404B5"/>
    <w:rsid w:val="178963E1"/>
    <w:rsid w:val="18402737"/>
    <w:rsid w:val="190D79CF"/>
    <w:rsid w:val="194A4E15"/>
    <w:rsid w:val="195C56BB"/>
    <w:rsid w:val="1B42163B"/>
    <w:rsid w:val="1D7A639C"/>
    <w:rsid w:val="1FAB0E4A"/>
    <w:rsid w:val="209459C7"/>
    <w:rsid w:val="23CF1B48"/>
    <w:rsid w:val="24A73F1B"/>
    <w:rsid w:val="2675555C"/>
    <w:rsid w:val="27075144"/>
    <w:rsid w:val="27460110"/>
    <w:rsid w:val="285C363F"/>
    <w:rsid w:val="2A0838F5"/>
    <w:rsid w:val="2A0E67EA"/>
    <w:rsid w:val="2AA64C74"/>
    <w:rsid w:val="2AAD3FF2"/>
    <w:rsid w:val="2D3E0F08"/>
    <w:rsid w:val="2D8A262B"/>
    <w:rsid w:val="2DB96A6D"/>
    <w:rsid w:val="2E387A2A"/>
    <w:rsid w:val="2FAF7DCD"/>
    <w:rsid w:val="300541EB"/>
    <w:rsid w:val="31442AF1"/>
    <w:rsid w:val="3307027A"/>
    <w:rsid w:val="337E154A"/>
    <w:rsid w:val="3400306C"/>
    <w:rsid w:val="352F1A92"/>
    <w:rsid w:val="359E4EC6"/>
    <w:rsid w:val="35F745D6"/>
    <w:rsid w:val="36E903C3"/>
    <w:rsid w:val="36F40B16"/>
    <w:rsid w:val="39F2758E"/>
    <w:rsid w:val="3A0722B3"/>
    <w:rsid w:val="3B634800"/>
    <w:rsid w:val="3D956BAE"/>
    <w:rsid w:val="3FC03C8B"/>
    <w:rsid w:val="42733C91"/>
    <w:rsid w:val="4278084D"/>
    <w:rsid w:val="435C016E"/>
    <w:rsid w:val="44292BBB"/>
    <w:rsid w:val="44BA46F5"/>
    <w:rsid w:val="44D4697A"/>
    <w:rsid w:val="44E71E8C"/>
    <w:rsid w:val="45522194"/>
    <w:rsid w:val="45F75F2C"/>
    <w:rsid w:val="46582E6F"/>
    <w:rsid w:val="46EC3735"/>
    <w:rsid w:val="481B05F8"/>
    <w:rsid w:val="48D34A2F"/>
    <w:rsid w:val="48EF22A9"/>
    <w:rsid w:val="499E503D"/>
    <w:rsid w:val="49E87FEF"/>
    <w:rsid w:val="4A1433AF"/>
    <w:rsid w:val="4AC54891"/>
    <w:rsid w:val="4B2F057F"/>
    <w:rsid w:val="4C570D49"/>
    <w:rsid w:val="4C640881"/>
    <w:rsid w:val="4E276AC7"/>
    <w:rsid w:val="4F176F48"/>
    <w:rsid w:val="501C4F0D"/>
    <w:rsid w:val="502344EE"/>
    <w:rsid w:val="51113F85"/>
    <w:rsid w:val="521C46C2"/>
    <w:rsid w:val="59CF698B"/>
    <w:rsid w:val="5B4D68C3"/>
    <w:rsid w:val="5B6C7881"/>
    <w:rsid w:val="5B8C1BC4"/>
    <w:rsid w:val="5D523C77"/>
    <w:rsid w:val="5DB00C01"/>
    <w:rsid w:val="5DD45079"/>
    <w:rsid w:val="5DDE7CA6"/>
    <w:rsid w:val="5E1E4546"/>
    <w:rsid w:val="625A40B9"/>
    <w:rsid w:val="65D976D1"/>
    <w:rsid w:val="69903773"/>
    <w:rsid w:val="699F478D"/>
    <w:rsid w:val="6D0019E7"/>
    <w:rsid w:val="6FA857CE"/>
    <w:rsid w:val="70A408DB"/>
    <w:rsid w:val="72E459CC"/>
    <w:rsid w:val="745848FE"/>
    <w:rsid w:val="74707796"/>
    <w:rsid w:val="75023E22"/>
    <w:rsid w:val="754E29D7"/>
    <w:rsid w:val="79FA156C"/>
    <w:rsid w:val="7A122D59"/>
    <w:rsid w:val="7D1D4C69"/>
    <w:rsid w:val="7EBA751C"/>
    <w:rsid w:val="7FDB20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after="120"/>
      <w:ind w:left="420" w:leftChars="200"/>
    </w:p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2414</Words>
  <Characters>2522</Characters>
  <Lines>0</Lines>
  <Paragraphs>0</Paragraphs>
  <TotalTime>35</TotalTime>
  <ScaleCrop>false</ScaleCrop>
  <LinksUpToDate>false</LinksUpToDate>
  <CharactersWithSpaces>2528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2024-05-15T00:51:00Z</dcterms:created>
  <dc:creator>WPS_1687271385</dc:creator>
  <cp:lastModifiedBy>WPS_1687271385</cp:lastModifiedBy>
  <dcterms:modified xsi:type="dcterms:W3CDTF">2024-11-15T02:49:28Z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918096C3696E47ABB83F405619C0684A_13</vt:lpwstr>
  </property>
</Properties>
</file>